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065.79527559055"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6.122428244857"/>
        <w:gridCol w:w="329.989331978664"/>
        <w:gridCol w:w="1402.4546609093218"/>
        <w:gridCol w:w="1402.4546609093218"/>
        <w:gridCol w:w="4839.843535687072"/>
        <w:gridCol w:w="398.737109474219"/>
        <w:gridCol w:w="1746.1935483870968"/>
        <w:tblGridChange w:id="0">
          <w:tblGrid>
            <w:gridCol w:w="3946.122428244857"/>
            <w:gridCol w:w="329.989331978664"/>
            <w:gridCol w:w="1402.4546609093218"/>
            <w:gridCol w:w="1402.4546609093218"/>
            <w:gridCol w:w="4839.843535687072"/>
            <w:gridCol w:w="398.737109474219"/>
            <w:gridCol w:w="1746.1935483870968"/>
          </w:tblGrid>
        </w:tblGridChange>
      </w:tblGrid>
      <w:tr>
        <w:trPr>
          <w:cantSplit w:val="0"/>
          <w:trHeight w:val="416" w:hRule="atLeast"/>
          <w:tblHeader w:val="0"/>
        </w:trPr>
        <w:tc>
          <w:tcPr>
            <w:shd w:fill="ccd9d5" w:val="clear"/>
            <w:vAlign w:val="center"/>
          </w:tcPr>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Campaign Name:</w:t>
            </w:r>
          </w:p>
        </w:tc>
        <w:tc>
          <w:tcPr>
            <w:gridSpan w:val="6"/>
            <w:vAlign w:val="center"/>
          </w:tcPr>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LGBTQ+ Campaign</w:t>
            </w:r>
          </w:p>
        </w:tc>
      </w:tr>
      <w:tr>
        <w:trPr>
          <w:cantSplit w:val="0"/>
          <w:trHeight w:val="419" w:hRule="atLeast"/>
          <w:tblHeader w:val="0"/>
        </w:trPr>
        <w:tc>
          <w:tcPr>
            <w:shd w:fill="ccd9d5" w:val="clear"/>
            <w:vAlign w:val="center"/>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Chair/Co-Chairs:</w:t>
            </w:r>
          </w:p>
        </w:tc>
        <w:tc>
          <w:tcPr>
            <w:gridSpan w:val="6"/>
            <w:vAlign w:val="center"/>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Elliot Brooke and Clay Nash</w:t>
            </w:r>
          </w:p>
        </w:tc>
      </w:tr>
      <w:tr>
        <w:trPr>
          <w:cantSplit w:val="0"/>
          <w:trHeight w:val="410" w:hRule="atLeast"/>
          <w:tblHeader w:val="0"/>
        </w:trPr>
        <w:tc>
          <w:tcPr>
            <w:gridSpan w:val="7"/>
            <w:shd w:fill="02412d" w:val="clear"/>
            <w:vAlign w:val="center"/>
          </w:tcPr>
          <w:p w:rsidR="00000000" w:rsidDel="00000000" w:rsidP="00000000" w:rsidRDefault="00000000" w:rsidRPr="00000000" w14:paraId="00000010">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Campaign Progress</w:t>
            </w:r>
          </w:p>
        </w:tc>
      </w:tr>
      <w:tr>
        <w:trPr>
          <w:cantSplit w:val="0"/>
          <w:tblHeader w:val="0"/>
        </w:trPr>
        <w:tc>
          <w:tcPr>
            <w:gridSpan w:val="2"/>
            <w:shd w:fill="ccd9d5" w:val="clear"/>
            <w:vAlign w:val="center"/>
          </w:tcPr>
          <w:p w:rsidR="00000000" w:rsidDel="00000000" w:rsidP="00000000" w:rsidRDefault="00000000" w:rsidRPr="00000000" w14:paraId="00000017">
            <w:pPr>
              <w:jc w:val="center"/>
              <w:rPr>
                <w:rFonts w:ascii="Arial" w:cs="Arial" w:eastAsia="Arial" w:hAnsi="Arial"/>
                <w:b w:val="1"/>
              </w:rPr>
            </w:pPr>
            <w:r w:rsidDel="00000000" w:rsidR="00000000" w:rsidRPr="00000000">
              <w:rPr>
                <w:rFonts w:ascii="Arial" w:cs="Arial" w:eastAsia="Arial" w:hAnsi="Arial"/>
                <w:b w:val="1"/>
                <w:rtl w:val="0"/>
              </w:rPr>
              <w:t xml:space="preserve">Targets set at last term</w:t>
            </w:r>
          </w:p>
        </w:tc>
        <w:tc>
          <w:tcPr>
            <w:shd w:fill="ccd9d5" w:val="clear"/>
            <w:vAlign w:val="center"/>
          </w:tcPr>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Achieved?</w:t>
            </w:r>
          </w:p>
        </w:tc>
        <w:tc>
          <w:tcPr>
            <w:shd w:fill="ccd9d5" w:val="clear"/>
            <w:vAlign w:val="center"/>
          </w:tcPr>
          <w:p w:rsidR="00000000" w:rsidDel="00000000" w:rsidP="00000000" w:rsidRDefault="00000000" w:rsidRPr="00000000" w14:paraId="0000001A">
            <w:pPr>
              <w:jc w:val="center"/>
              <w:rPr>
                <w:rFonts w:ascii="Arial" w:cs="Arial" w:eastAsia="Arial" w:hAnsi="Arial"/>
                <w:b w:val="1"/>
              </w:rPr>
            </w:pPr>
            <w:r w:rsidDel="00000000" w:rsidR="00000000" w:rsidRPr="00000000">
              <w:rPr>
                <w:rtl w:val="0"/>
              </w:rPr>
            </w:r>
          </w:p>
        </w:tc>
        <w:tc>
          <w:tcPr>
            <w:gridSpan w:val="2"/>
            <w:shd w:fill="ccd9d5" w:val="clear"/>
            <w:vAlign w:val="center"/>
          </w:tcPr>
          <w:p w:rsidR="00000000" w:rsidDel="00000000" w:rsidP="00000000" w:rsidRDefault="00000000" w:rsidRPr="00000000" w14:paraId="0000001B">
            <w:pPr>
              <w:jc w:val="center"/>
              <w:rPr>
                <w:rFonts w:ascii="Arial" w:cs="Arial" w:eastAsia="Arial" w:hAnsi="Arial"/>
                <w:b w:val="1"/>
              </w:rPr>
            </w:pPr>
            <w:r w:rsidDel="00000000" w:rsidR="00000000" w:rsidRPr="00000000">
              <w:rPr>
                <w:rFonts w:ascii="Arial" w:cs="Arial" w:eastAsia="Arial" w:hAnsi="Arial"/>
                <w:b w:val="1"/>
                <w:rtl w:val="0"/>
              </w:rPr>
              <w:t xml:space="preserve">How? / Why not?</w:t>
            </w:r>
          </w:p>
        </w:tc>
        <w:tc>
          <w:tcPr>
            <w:shd w:fill="ccd9d5" w:val="clear"/>
            <w:vAlign w:val="center"/>
          </w:tcPr>
          <w:p w:rsidR="00000000" w:rsidDel="00000000" w:rsidP="00000000" w:rsidRDefault="00000000" w:rsidRPr="00000000" w14:paraId="0000001D">
            <w:pPr>
              <w:jc w:val="center"/>
              <w:rPr>
                <w:rFonts w:ascii="Arial" w:cs="Arial" w:eastAsia="Arial" w:hAnsi="Arial"/>
                <w:b w:val="1"/>
              </w:rPr>
            </w:pPr>
            <w:r w:rsidDel="00000000" w:rsidR="00000000" w:rsidRPr="00000000">
              <w:rPr>
                <w:rFonts w:ascii="Arial" w:cs="Arial" w:eastAsia="Arial" w:hAnsi="Arial"/>
                <w:b w:val="1"/>
                <w:rtl w:val="0"/>
              </w:rPr>
              <w:t xml:space="preserve">Spend</w:t>
            </w:r>
          </w:p>
        </w:tc>
      </w:tr>
      <w:tr>
        <w:trPr>
          <w:cantSplit w:val="0"/>
          <w:trHeight w:val="983" w:hRule="atLeast"/>
          <w:tblHeader w:val="0"/>
        </w:trPr>
        <w:tc>
          <w:tcPr>
            <w:gridSpan w:val="2"/>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Continue work on existing Campaign Projects</w:t>
            </w:r>
          </w:p>
        </w:tc>
        <w:tc>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21">
            <w:pP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22">
            <w:pPr>
              <w:numPr>
                <w:ilvl w:val="0"/>
                <w:numId w:val="11"/>
              </w:numPr>
              <w:ind w:left="720" w:hanging="360"/>
              <w:rPr>
                <w:rFonts w:ascii="Arial" w:cs="Arial" w:eastAsia="Arial" w:hAnsi="Arial"/>
                <w:i w:val="1"/>
              </w:rPr>
            </w:pPr>
            <w:r w:rsidDel="00000000" w:rsidR="00000000" w:rsidRPr="00000000">
              <w:rPr>
                <w:rFonts w:ascii="Arial" w:cs="Arial" w:eastAsia="Arial" w:hAnsi="Arial"/>
                <w:rtl w:val="0"/>
              </w:rPr>
              <w:t xml:space="preserve">Continued work alongside the VP Women with the Terrance Higgins Trust to facilitate sexual health testing at the SU and ran an LGBTQ+ sex-ed workshop. Also worked with (and continue to work with!) the VP Women to increase sexual health provisions and resources.</w:t>
            </w:r>
            <w:r w:rsidDel="00000000" w:rsidR="00000000" w:rsidRPr="00000000">
              <w:rPr>
                <w:rtl w:val="0"/>
              </w:rPr>
            </w:r>
          </w:p>
          <w:p w:rsidR="00000000" w:rsidDel="00000000" w:rsidP="00000000" w:rsidRDefault="00000000" w:rsidRPr="00000000" w14:paraId="00000023">
            <w:pPr>
              <w:numPr>
                <w:ilvl w:val="0"/>
                <w:numId w:val="11"/>
              </w:numPr>
              <w:ind w:left="720" w:hanging="360"/>
              <w:rPr>
                <w:rFonts w:ascii="Arial" w:cs="Arial" w:eastAsia="Arial" w:hAnsi="Arial"/>
                <w:i w:val="1"/>
              </w:rPr>
            </w:pPr>
            <w:r w:rsidDel="00000000" w:rsidR="00000000" w:rsidRPr="00000000">
              <w:rPr>
                <w:rFonts w:ascii="Arial" w:cs="Arial" w:eastAsia="Arial" w:hAnsi="Arial"/>
                <w:rtl w:val="0"/>
              </w:rPr>
              <w:t xml:space="preserve">Transphobia Definition: Have been in talks to get legal advice on the definition itself, as well as advice on how to condense it down to a clause that could be included in college/university harassment policies. Have also spoken to some members of the university community who are getting involved to try and take the burden of this off students for the time being due to the way things have escalated. </w:t>
            </w:r>
            <w:r w:rsidDel="00000000" w:rsidR="00000000" w:rsidRPr="00000000">
              <w:rPr>
                <w:rtl w:val="0"/>
              </w:rPr>
            </w:r>
          </w:p>
          <w:p w:rsidR="00000000" w:rsidDel="00000000" w:rsidP="00000000" w:rsidRDefault="00000000" w:rsidRPr="00000000" w14:paraId="00000024">
            <w:pPr>
              <w:numPr>
                <w:ilvl w:val="0"/>
                <w:numId w:val="11"/>
              </w:numPr>
              <w:ind w:left="720" w:hanging="360"/>
              <w:rPr>
                <w:rFonts w:ascii="Arial" w:cs="Arial" w:eastAsia="Arial" w:hAnsi="Arial"/>
                <w:i w:val="1"/>
              </w:rPr>
            </w:pPr>
            <w:r w:rsidDel="00000000" w:rsidR="00000000" w:rsidRPr="00000000">
              <w:rPr>
                <w:rFonts w:ascii="Arial" w:cs="Arial" w:eastAsia="Arial" w:hAnsi="Arial"/>
                <w:rtl w:val="0"/>
              </w:rPr>
              <w:t xml:space="preserve">Centralised Gender Expression Fund: Received confirmation that this would be a viable project within the SU, now looking to work with college reps and the wider student community to establish the details of how this would function/best serve the trans community in Oxford. </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£0 </w:t>
            </w:r>
          </w:p>
        </w:tc>
      </w:tr>
      <w:tr>
        <w:trPr>
          <w:cantSplit w:val="0"/>
          <w:trHeight w:val="836" w:hRule="atLeast"/>
          <w:tblHeader w:val="0"/>
        </w:trPr>
        <w:tc>
          <w:tcPr>
            <w:gridSpan w:val="2"/>
          </w:tcPr>
          <w:p w:rsidR="00000000" w:rsidDel="00000000" w:rsidP="00000000" w:rsidRDefault="00000000" w:rsidRPr="00000000" w14:paraId="00000027">
            <w:pPr>
              <w:rPr/>
            </w:pPr>
            <w:r w:rsidDel="00000000" w:rsidR="00000000" w:rsidRPr="00000000">
              <w:rPr>
                <w:rFonts w:ascii="Arial" w:cs="Arial" w:eastAsia="Arial" w:hAnsi="Arial"/>
                <w:rtl w:val="0"/>
              </w:rPr>
              <w:t xml:space="preserve">Community Events </w:t>
            </w:r>
            <w:r w:rsidDel="00000000" w:rsidR="00000000" w:rsidRPr="00000000">
              <w:rPr>
                <w:rtl w:val="0"/>
              </w:rPr>
            </w:r>
          </w:p>
          <w:p w:rsidR="00000000" w:rsidDel="00000000" w:rsidP="00000000" w:rsidRDefault="00000000" w:rsidRPr="00000000" w14:paraId="00000028">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2B">
            <w:pP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2C">
            <w:pPr>
              <w:ind w:left="0" w:firstLine="0"/>
              <w:rPr>
                <w:rFonts w:ascii="Arial" w:cs="Arial" w:eastAsia="Arial" w:hAnsi="Arial"/>
              </w:rPr>
            </w:pPr>
            <w:r w:rsidDel="00000000" w:rsidR="00000000" w:rsidRPr="00000000">
              <w:rPr>
                <w:rFonts w:ascii="Arial" w:cs="Arial" w:eastAsia="Arial" w:hAnsi="Arial"/>
                <w:rtl w:val="0"/>
              </w:rPr>
              <w:t xml:space="preserve">Lesbian Visbility Week:</w:t>
            </w:r>
          </w:p>
          <w:p w:rsidR="00000000" w:rsidDel="00000000" w:rsidP="00000000" w:rsidRDefault="00000000" w:rsidRPr="00000000" w14:paraId="0000002D">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Lesbian Rep Amber facilitated two reading groups, and held a fantastic talk with Dressing Dykes about the history of lesbian fashion and identity.</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Conversion Therapy Protest:</w:t>
            </w:r>
          </w:p>
          <w:p w:rsidR="00000000" w:rsidDel="00000000" w:rsidP="00000000" w:rsidRDefault="00000000" w:rsidRPr="00000000" w14:paraId="0000002F">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In response to the government back-tracking on banning conversion therapy, we lead a group down to the London Ban Conversion Therapy protest, and our Co-Chair Clay played an instrumental role in organising the Oxford Against Conversion Therapy Protest, with a protest sign-making sesion hosted at the SU. </w:t>
            </w:r>
          </w:p>
          <w:p w:rsidR="00000000" w:rsidDel="00000000" w:rsidP="00000000" w:rsidRDefault="00000000" w:rsidRPr="00000000" w14:paraId="00000030">
            <w:pPr>
              <w:ind w:left="0" w:firstLine="0"/>
              <w:rPr>
                <w:rFonts w:ascii="Arial" w:cs="Arial" w:eastAsia="Arial" w:hAnsi="Arial"/>
              </w:rPr>
            </w:pPr>
            <w:r w:rsidDel="00000000" w:rsidR="00000000" w:rsidRPr="00000000">
              <w:rPr>
                <w:rFonts w:ascii="Arial" w:cs="Arial" w:eastAsia="Arial" w:hAnsi="Arial"/>
                <w:rtl w:val="0"/>
              </w:rPr>
              <w:t xml:space="preserve">Pride month: </w:t>
            </w:r>
          </w:p>
          <w:p w:rsidR="00000000" w:rsidDel="00000000" w:rsidP="00000000" w:rsidRDefault="00000000" w:rsidRPr="00000000" w14:paraId="00000031">
            <w:pPr>
              <w:numPr>
                <w:ilvl w:val="0"/>
                <w:numId w:val="10"/>
              </w:numPr>
              <w:ind w:left="720" w:hanging="360"/>
              <w:rPr>
                <w:rFonts w:ascii="Arial" w:cs="Arial" w:eastAsia="Arial" w:hAnsi="Arial"/>
                <w:u w:val="none"/>
              </w:rPr>
            </w:pPr>
            <w:r w:rsidDel="00000000" w:rsidR="00000000" w:rsidRPr="00000000">
              <w:rPr>
                <w:rFonts w:ascii="Arial" w:cs="Arial" w:eastAsia="Arial" w:hAnsi="Arial"/>
                <w:rtl w:val="0"/>
              </w:rPr>
              <w:t xml:space="preserve">Held many events throughout the month including a placard printing workshop at the Bodleian, Pride Picnic that was well attended, film screening of ‘Pride’ in collaboration with the Sabbatical Officers, and marched in the Parade. </w:t>
            </w:r>
          </w:p>
          <w:p w:rsidR="00000000" w:rsidDel="00000000" w:rsidP="00000000" w:rsidRDefault="00000000" w:rsidRPr="00000000" w14:paraId="00000032">
            <w:pPr>
              <w:numPr>
                <w:ilvl w:val="0"/>
                <w:numId w:val="10"/>
              </w:numPr>
              <w:ind w:left="720" w:hanging="360"/>
              <w:rPr>
                <w:rFonts w:ascii="Arial" w:cs="Arial" w:eastAsia="Arial" w:hAnsi="Arial"/>
                <w:u w:val="none"/>
              </w:rPr>
            </w:pPr>
            <w:r w:rsidDel="00000000" w:rsidR="00000000" w:rsidRPr="00000000">
              <w:rPr>
                <w:rFonts w:ascii="Arial" w:cs="Arial" w:eastAsia="Arial" w:hAnsi="Arial"/>
                <w:rtl w:val="0"/>
              </w:rPr>
              <w:t xml:space="preserve">Free Deed Poll Event - went ahead and was successful, would like to run this at least once a term to continue to give people support with this. </w:t>
            </w:r>
          </w:p>
          <w:p w:rsidR="00000000" w:rsidDel="00000000" w:rsidP="00000000" w:rsidRDefault="00000000" w:rsidRPr="00000000" w14:paraId="00000033">
            <w:pPr>
              <w:numPr>
                <w:ilvl w:val="0"/>
                <w:numId w:val="10"/>
              </w:numPr>
              <w:ind w:left="720" w:hanging="360"/>
              <w:rPr>
                <w:rFonts w:ascii="Arial" w:cs="Arial" w:eastAsia="Arial" w:hAnsi="Arial"/>
                <w:u w:val="none"/>
              </w:rPr>
            </w:pPr>
            <w:r w:rsidDel="00000000" w:rsidR="00000000" w:rsidRPr="00000000">
              <w:rPr>
                <w:rFonts w:ascii="Arial" w:cs="Arial" w:eastAsia="Arial" w:hAnsi="Arial"/>
                <w:rtl w:val="0"/>
              </w:rPr>
              <w:t xml:space="preserve">Some of the events we had planned had to be pushed back to fresher’s week as we simply ran out of time e.g. platonic speed-dating, and some e.g. speaker events we found ourselves somewhat limited due to budget.</w:t>
            </w:r>
          </w:p>
          <w:p w:rsidR="00000000" w:rsidDel="00000000" w:rsidP="00000000" w:rsidRDefault="00000000" w:rsidRPr="00000000" w14:paraId="00000034">
            <w:pPr>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MP Letter Writing - had to be rescheduled but will hopefully run this at somepoint in MT.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GALOP Workshops: </w:t>
            </w:r>
          </w:p>
          <w:p w:rsidR="00000000" w:rsidDel="00000000" w:rsidP="00000000" w:rsidRDefault="00000000" w:rsidRPr="00000000" w14:paraId="00000036">
            <w:pPr>
              <w:numPr>
                <w:ilvl w:val="0"/>
                <w:numId w:val="8"/>
              </w:numPr>
              <w:ind w:left="720" w:hanging="360"/>
              <w:rPr>
                <w:rFonts w:ascii="Arial" w:cs="Arial" w:eastAsia="Arial" w:hAnsi="Arial"/>
                <w:u w:val="none"/>
              </w:rPr>
            </w:pPr>
            <w:r w:rsidDel="00000000" w:rsidR="00000000" w:rsidRPr="00000000">
              <w:rPr>
                <w:rFonts w:ascii="Arial" w:cs="Arial" w:eastAsia="Arial" w:hAnsi="Arial"/>
                <w:rtl w:val="0"/>
              </w:rPr>
              <w:t xml:space="preserve">Were able to work with GALOP to hold two workshops over the long vac; one on Conversion Therapy and another on Queer Consent &amp; Healthy Relationships, both of which were well attended and very helpful! We’re hoping to continue working with GALOP to run these workshops again closer to/in term time so more people can access them. </w:t>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Look into what actual cost came to</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Were able to access extra funding from the SU and the Sabbatical Officers to help fund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i w:val="1"/>
              </w:rPr>
            </w:pPr>
            <w:r w:rsidDel="00000000" w:rsidR="00000000" w:rsidRPr="00000000">
              <w:rPr>
                <w:rFonts w:ascii="Arial" w:cs="Arial" w:eastAsia="Arial" w:hAnsi="Arial"/>
                <w:i w:val="1"/>
                <w:rtl w:val="0"/>
              </w:rPr>
              <w:t xml:space="preserve">Around £500 - plan to look into working with other student organisations and applying for extra funding to support the cost of holding events and talks etc. </w:t>
            </w:r>
          </w:p>
        </w:tc>
      </w:tr>
      <w:tr>
        <w:trPr>
          <w:cantSplit w:val="0"/>
          <w:trHeight w:val="836" w:hRule="atLeast"/>
          <w:tblHeader w:val="0"/>
        </w:trPr>
        <w:tc>
          <w:tcPr>
            <w:gridSpan w:val="2"/>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Review LGBTQ+ Training Workshops &amp; Resources </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tc>
        <w:tc>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49">
            <w:pP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Working group was established and produced a new set of training resources for workshops that have been delivered this fresher’s period. We are going to check in with facilitators to review but had positive feedback at the facilitator training sessions and are really happy with the new version of the training, which is much more comprehensive and intersectional than previous years. </w:t>
            </w:r>
            <w:r w:rsidDel="00000000" w:rsidR="00000000" w:rsidRPr="00000000">
              <w:rPr>
                <w:rtl w:val="0"/>
              </w:rPr>
            </w:r>
          </w:p>
        </w:tc>
        <w:tc>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£0</w:t>
            </w:r>
            <w:r w:rsidDel="00000000" w:rsidR="00000000" w:rsidRPr="00000000">
              <w:rPr>
                <w:rtl w:val="0"/>
              </w:rPr>
            </w:r>
          </w:p>
        </w:tc>
      </w:tr>
      <w:tr>
        <w:trPr>
          <w:cantSplit w:val="0"/>
          <w:trHeight w:val="411" w:hRule="atLeast"/>
          <w:tblHeader w:val="0"/>
        </w:trPr>
        <w:tc>
          <w:tcPr>
            <w:gridSpan w:val="7"/>
            <w:shd w:fill="02412d" w:val="clear"/>
            <w:vAlign w:val="center"/>
          </w:tcPr>
          <w:p w:rsidR="00000000" w:rsidDel="00000000" w:rsidP="00000000" w:rsidRDefault="00000000" w:rsidRPr="00000000" w14:paraId="0000004D">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Next Term Targets</w:t>
            </w:r>
          </w:p>
        </w:tc>
      </w:tr>
      <w:tr>
        <w:trPr>
          <w:cantSplit w:val="0"/>
          <w:tblHeader w:val="0"/>
        </w:trPr>
        <w:tc>
          <w:tcPr>
            <w:gridSpan w:val="2"/>
            <w:shd w:fill="ccd9d5" w:val="clear"/>
            <w:vAlign w:val="center"/>
          </w:tcPr>
          <w:p w:rsidR="00000000" w:rsidDel="00000000" w:rsidP="00000000" w:rsidRDefault="00000000" w:rsidRPr="00000000" w14:paraId="00000054">
            <w:pPr>
              <w:jc w:val="center"/>
              <w:rPr>
                <w:rFonts w:ascii="Arial" w:cs="Arial" w:eastAsia="Arial" w:hAnsi="Arial"/>
                <w:b w:val="1"/>
              </w:rPr>
            </w:pPr>
            <w:r w:rsidDel="00000000" w:rsidR="00000000" w:rsidRPr="00000000">
              <w:rPr>
                <w:rFonts w:ascii="Arial" w:cs="Arial" w:eastAsia="Arial" w:hAnsi="Arial"/>
                <w:b w:val="1"/>
                <w:rtl w:val="0"/>
              </w:rPr>
              <w:t xml:space="preserve">Target</w:t>
            </w:r>
          </w:p>
        </w:tc>
        <w:tc>
          <w:tcPr>
            <w:gridSpan w:val="3"/>
            <w:shd w:fill="ccd9d5" w:val="clear"/>
            <w:vAlign w:val="center"/>
          </w:tcPr>
          <w:p w:rsidR="00000000" w:rsidDel="00000000" w:rsidP="00000000" w:rsidRDefault="00000000" w:rsidRPr="00000000" w14:paraId="00000056">
            <w:pPr>
              <w:jc w:val="center"/>
              <w:rPr>
                <w:rFonts w:ascii="Arial" w:cs="Arial" w:eastAsia="Arial" w:hAnsi="Arial"/>
                <w:b w:val="1"/>
              </w:rPr>
            </w:pPr>
            <w:r w:rsidDel="00000000" w:rsidR="00000000" w:rsidRPr="00000000">
              <w:rPr>
                <w:rFonts w:ascii="Arial" w:cs="Arial" w:eastAsia="Arial" w:hAnsi="Arial"/>
                <w:b w:val="1"/>
                <w:rtl w:val="0"/>
              </w:rPr>
              <w:t xml:space="preserve">Description</w:t>
            </w:r>
          </w:p>
        </w:tc>
        <w:tc>
          <w:tcPr>
            <w:gridSpan w:val="2"/>
            <w:shd w:fill="ccd9d5" w:val="clear"/>
            <w:vAlign w:val="center"/>
          </w:tcPr>
          <w:p w:rsidR="00000000" w:rsidDel="00000000" w:rsidP="00000000" w:rsidRDefault="00000000" w:rsidRPr="00000000" w14:paraId="00000059">
            <w:pPr>
              <w:jc w:val="center"/>
              <w:rPr>
                <w:rFonts w:ascii="Arial" w:cs="Arial" w:eastAsia="Arial" w:hAnsi="Arial"/>
                <w:b w:val="1"/>
              </w:rPr>
            </w:pPr>
            <w:r w:rsidDel="00000000" w:rsidR="00000000" w:rsidRPr="00000000">
              <w:rPr>
                <w:rFonts w:ascii="Arial" w:cs="Arial" w:eastAsia="Arial" w:hAnsi="Arial"/>
                <w:b w:val="1"/>
                <w:rtl w:val="0"/>
              </w:rPr>
              <w:t xml:space="preserve">Expected Spend</w:t>
            </w:r>
          </w:p>
        </w:tc>
      </w:tr>
      <w:tr>
        <w:trPr>
          <w:cantSplit w:val="0"/>
          <w:trHeight w:val="390" w:hRule="atLeast"/>
          <w:tblHeader w:val="0"/>
        </w:trPr>
        <w:tc>
          <w:tcPr>
            <w:gridSpan w:val="2"/>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Freshers Week </w:t>
            </w:r>
          </w:p>
        </w:tc>
        <w:tc>
          <w:tcPr>
            <w:gridSpan w:val="3"/>
          </w:tcPr>
          <w:p w:rsidR="00000000" w:rsidDel="00000000" w:rsidP="00000000" w:rsidRDefault="00000000" w:rsidRPr="00000000" w14:paraId="0000005D">
            <w:pPr>
              <w:ind w:left="0" w:firstLine="0"/>
              <w:rPr>
                <w:rFonts w:ascii="Arial" w:cs="Arial" w:eastAsia="Arial" w:hAnsi="Arial"/>
              </w:rPr>
            </w:pPr>
            <w:r w:rsidDel="00000000" w:rsidR="00000000" w:rsidRPr="00000000">
              <w:rPr>
                <w:rFonts w:ascii="Arial" w:cs="Arial" w:eastAsia="Arial" w:hAnsi="Arial"/>
                <w:rtl w:val="0"/>
              </w:rPr>
              <w:t xml:space="preserve">Freshers Fair: </w:t>
            </w:r>
          </w:p>
          <w:p w:rsidR="00000000" w:rsidDel="00000000" w:rsidP="00000000" w:rsidRDefault="00000000" w:rsidRPr="00000000" w14:paraId="0000005E">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Produce a Freshers Guide that can be passed out to freshers signposting useful information about being LGBTQ+ in Oxford as well as introducing Campaign and explaining what we do.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Freshers Event:</w:t>
            </w:r>
          </w:p>
          <w:p w:rsidR="00000000" w:rsidDel="00000000" w:rsidP="00000000" w:rsidRDefault="00000000" w:rsidRPr="00000000" w14:paraId="00000060">
            <w:pPr>
              <w:numPr>
                <w:ilvl w:val="0"/>
                <w:numId w:val="12"/>
              </w:numPr>
              <w:ind w:left="720" w:hanging="360"/>
              <w:rPr>
                <w:rFonts w:ascii="Arial" w:cs="Arial" w:eastAsia="Arial" w:hAnsi="Arial"/>
                <w:u w:val="none"/>
              </w:rPr>
            </w:pPr>
            <w:r w:rsidDel="00000000" w:rsidR="00000000" w:rsidRPr="00000000">
              <w:rPr>
                <w:rFonts w:ascii="Arial" w:cs="Arial" w:eastAsia="Arial" w:hAnsi="Arial"/>
                <w:rtl w:val="0"/>
              </w:rPr>
              <w:t xml:space="preserve">‘Dragged Through History’ event - aiming to host a speaker panel followed by a drinks reception in 7th week on the topic of drag through history. In the process at the moment of sourcing speakers for the event. </w:t>
            </w:r>
          </w:p>
        </w:tc>
        <w:tc>
          <w:tcPr>
            <w:gridSpan w:val="2"/>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£450-600 - splitting the cost between out annual budget and freshers budget</w:t>
            </w:r>
          </w:p>
        </w:tc>
      </w:tr>
      <w:tr>
        <w:trPr>
          <w:cantSplit w:val="0"/>
          <w:trHeight w:val="645" w:hRule="atLeast"/>
          <w:tblHeader w:val="0"/>
        </w:trPr>
        <w:tc>
          <w:tcPr>
            <w:gridSpan w:val="2"/>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Community Events</w:t>
            </w:r>
          </w:p>
        </w:tc>
        <w:tc>
          <w:tcPr>
            <w:gridSpan w:val="3"/>
          </w:tcPr>
          <w:p w:rsidR="00000000" w:rsidDel="00000000" w:rsidP="00000000" w:rsidRDefault="00000000" w:rsidRPr="00000000" w14:paraId="00000067">
            <w:pPr>
              <w:ind w:left="0" w:firstLine="0"/>
              <w:rPr>
                <w:rFonts w:ascii="Arial" w:cs="Arial" w:eastAsia="Arial" w:hAnsi="Arial"/>
              </w:rPr>
            </w:pPr>
            <w:r w:rsidDel="00000000" w:rsidR="00000000" w:rsidRPr="00000000">
              <w:rPr>
                <w:rFonts w:ascii="Arial" w:cs="Arial" w:eastAsia="Arial" w:hAnsi="Arial"/>
                <w:rtl w:val="0"/>
              </w:rPr>
              <w:t xml:space="preserve">Would like to continue as we did in TT and host more events for the community, particularly as this seemed to be a popular idea at Freshers Fair.</w:t>
            </w:r>
          </w:p>
          <w:p w:rsidR="00000000" w:rsidDel="00000000" w:rsidP="00000000" w:rsidRDefault="00000000" w:rsidRPr="00000000" w14:paraId="00000068">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Open meetings </w:t>
            </w:r>
          </w:p>
          <w:p w:rsidR="00000000" w:rsidDel="00000000" w:rsidP="00000000" w:rsidRDefault="00000000" w:rsidRPr="00000000" w14:paraId="00000069">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Zine making workshop with Oxford Queer Zine</w:t>
            </w:r>
          </w:p>
          <w:p w:rsidR="00000000" w:rsidDel="00000000" w:rsidP="00000000" w:rsidRDefault="00000000" w:rsidRPr="00000000" w14:paraId="0000006A">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Craft evenings</w:t>
            </w:r>
          </w:p>
          <w:p w:rsidR="00000000" w:rsidDel="00000000" w:rsidP="00000000" w:rsidRDefault="00000000" w:rsidRPr="00000000" w14:paraId="0000006B">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Free Deedpoll and Trans 101 Sessions </w:t>
            </w:r>
          </w:p>
          <w:p w:rsidR="00000000" w:rsidDel="00000000" w:rsidP="00000000" w:rsidRDefault="00000000" w:rsidRPr="00000000" w14:paraId="0000006C">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MP Letter Writing workshop</w:t>
            </w:r>
          </w:p>
        </w:tc>
        <w:tc>
          <w:tcPr>
            <w:gridSpan w:val="2"/>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£50-100</w:t>
            </w:r>
          </w:p>
        </w:tc>
      </w:tr>
      <w:tr>
        <w:trPr>
          <w:cantSplit w:val="0"/>
          <w:trHeight w:val="645" w:hRule="atLeast"/>
          <w:tblHeader w:val="0"/>
        </w:trPr>
        <w:tc>
          <w:tcPr>
            <w:gridSpan w:val="2"/>
          </w:tcPr>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Continue work on Existing Campaign Projects</w:t>
            </w:r>
          </w:p>
        </w:tc>
        <w:tc>
          <w:tcPr>
            <w:gridSpan w:val="3"/>
          </w:tcPr>
          <w:p w:rsidR="00000000" w:rsidDel="00000000" w:rsidP="00000000" w:rsidRDefault="00000000" w:rsidRPr="00000000" w14:paraId="00000073">
            <w:pPr>
              <w:ind w:left="0" w:firstLine="0"/>
              <w:rPr>
                <w:rFonts w:ascii="Arial" w:cs="Arial" w:eastAsia="Arial" w:hAnsi="Arial"/>
              </w:rPr>
            </w:pPr>
            <w:r w:rsidDel="00000000" w:rsidR="00000000" w:rsidRPr="00000000">
              <w:rPr>
                <w:rFonts w:ascii="Arial" w:cs="Arial" w:eastAsia="Arial" w:hAnsi="Arial"/>
                <w:rtl w:val="0"/>
              </w:rPr>
              <w:t xml:space="preserve">Transphobia Definition: </w:t>
            </w:r>
          </w:p>
          <w:p w:rsidR="00000000" w:rsidDel="00000000" w:rsidP="00000000" w:rsidRDefault="00000000" w:rsidRPr="00000000" w14:paraId="00000074">
            <w:pPr>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Continue to check in with progress on this, also exploring other legal avenues we can pursue to potentially escalate this beyond the university level. We’re also hoping to raise this at the EDI Forum later this term. </w:t>
            </w:r>
          </w:p>
          <w:p w:rsidR="00000000" w:rsidDel="00000000" w:rsidP="00000000" w:rsidRDefault="00000000" w:rsidRPr="00000000" w14:paraId="00000075">
            <w:pPr>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Working with intersectional members and other campaigns to expand the work on this and introduce other more comprehensive definitions to the harassment policy on ableism, racism, misogyny etc. in line with legal advice we have already received.</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Centralised Gender Expression Fund:</w:t>
            </w:r>
          </w:p>
          <w:p w:rsidR="00000000" w:rsidDel="00000000" w:rsidP="00000000" w:rsidRDefault="00000000" w:rsidRPr="00000000" w14:paraId="00000077">
            <w:pPr>
              <w:numPr>
                <w:ilvl w:val="0"/>
                <w:numId w:val="9"/>
              </w:numPr>
              <w:ind w:left="720" w:hanging="360"/>
              <w:rPr>
                <w:rFonts w:ascii="Arial" w:cs="Arial" w:eastAsia="Arial" w:hAnsi="Arial"/>
                <w:u w:val="none"/>
              </w:rPr>
            </w:pPr>
            <w:r w:rsidDel="00000000" w:rsidR="00000000" w:rsidRPr="00000000">
              <w:rPr>
                <w:rFonts w:ascii="Arial" w:cs="Arial" w:eastAsia="Arial" w:hAnsi="Arial"/>
                <w:rtl w:val="0"/>
              </w:rPr>
              <w:t xml:space="preserve">Now we’ve had the go ahead on this our next steps are going to focus on setting up meetings with the college reps and the wider queer community to discuss details of how they would like to see this function, and then liaise with the SU to see what is possible. </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Sexual Health Resources:</w:t>
            </w:r>
          </w:p>
          <w:p w:rsidR="00000000" w:rsidDel="00000000" w:rsidP="00000000" w:rsidRDefault="00000000" w:rsidRPr="00000000" w14:paraId="00000079">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Sexual health reps planning to continue working with THT to provide further workships and testing drop ins. </w:t>
            </w:r>
          </w:p>
          <w:p w:rsidR="00000000" w:rsidDel="00000000" w:rsidP="00000000" w:rsidRDefault="00000000" w:rsidRPr="00000000" w14:paraId="0000007A">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Work is also continuing on the Sexual Health Resources college audit so we can begin to work on standardising provisions across colleges. </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LGBTQ+ Survey:</w:t>
            </w:r>
          </w:p>
          <w:p w:rsidR="00000000" w:rsidDel="00000000" w:rsidP="00000000" w:rsidRDefault="00000000" w:rsidRPr="00000000" w14:paraId="0000007C">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Going to continue work on pulling together an updated Trans Report but expanding it to hopefully produce a more comprehensive picture of what the LGBTQ+ experience at the university is.</w:t>
            </w:r>
          </w:p>
        </w:tc>
        <w:tc>
          <w:tcPr>
            <w:gridSpan w:val="2"/>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£0</w:t>
            </w:r>
          </w:p>
        </w:tc>
      </w:tr>
      <w:tr>
        <w:trPr>
          <w:cantSplit w:val="0"/>
          <w:trHeight w:val="1364.8828125" w:hRule="atLeast"/>
          <w:tblHeader w:val="0"/>
        </w:trPr>
        <w:tc>
          <w:tcPr>
            <w:gridSpan w:val="2"/>
          </w:tcPr>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Transgender Week of Awareness and Transgender Day of Remembrance </w:t>
            </w:r>
          </w:p>
        </w:tc>
        <w:tc>
          <w:tcPr>
            <w:gridSpan w:val="3"/>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Planning to repeat what we have done in past years with the RadCam memorial and candle vigil on TDOR itself - looking to collaborate with LGBTQ+ Society on their events too. </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Throughout TWA will be working with Wadham’s Queer Week to host welfare events as well as some more educational talks to help raise awareness of the week around the university. </w:t>
            </w:r>
          </w:p>
        </w:tc>
        <w:tc>
          <w:tcPr>
            <w:gridSpan w:val="2"/>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£300 - planning to source funding from JCR’s and LGBTQ+ Soc where possible. </w:t>
            </w:r>
          </w:p>
        </w:tc>
      </w:tr>
      <w:tr>
        <w:trPr>
          <w:cantSplit w:val="0"/>
          <w:trHeight w:val="416" w:hRule="atLeast"/>
          <w:tblHeader w:val="0"/>
        </w:trPr>
        <w:tc>
          <w:tcPr>
            <w:gridSpan w:val="7"/>
            <w:shd w:fill="ccd9d5" w:val="clear"/>
            <w:vAlign w:val="center"/>
          </w:tcPr>
          <w:p w:rsidR="00000000" w:rsidDel="00000000" w:rsidP="00000000" w:rsidRDefault="00000000" w:rsidRPr="00000000" w14:paraId="00000089">
            <w:pPr>
              <w:rPr>
                <w:rFonts w:ascii="Arial" w:cs="Arial" w:eastAsia="Arial" w:hAnsi="Arial"/>
                <w:b w:val="1"/>
              </w:rPr>
            </w:pPr>
            <w:r w:rsidDel="00000000" w:rsidR="00000000" w:rsidRPr="00000000">
              <w:rPr>
                <w:rFonts w:ascii="Arial" w:cs="Arial" w:eastAsia="Arial" w:hAnsi="Arial"/>
                <w:b w:val="1"/>
                <w:rtl w:val="0"/>
              </w:rPr>
              <w:t xml:space="preserve">Chair/Co-Chair’s Comments:</w:t>
            </w:r>
          </w:p>
        </w:tc>
      </w:tr>
      <w:tr>
        <w:trPr>
          <w:cantSplit w:val="0"/>
          <w:trHeight w:val="983" w:hRule="atLeast"/>
          <w:tblHeader w:val="0"/>
        </w:trPr>
        <w:tc>
          <w:tcPr>
            <w:gridSpan w:val="7"/>
          </w:tcPr>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We’re really happy with the amount of progress we were able to make last year on a number of our main campaign projects, and hope this can continue this academic year! </w:t>
            </w:r>
          </w:p>
        </w:tc>
      </w:tr>
    </w:tbl>
    <w:p w:rsidR="00000000" w:rsidDel="00000000" w:rsidP="00000000" w:rsidRDefault="00000000" w:rsidRPr="00000000" w14:paraId="00000097">
      <w:pPr>
        <w:rPr>
          <w:rFonts w:ascii="Arial" w:cs="Arial" w:eastAsia="Arial" w:hAnsi="Arial"/>
        </w:rPr>
      </w:pPr>
      <w:r w:rsidDel="00000000" w:rsidR="00000000" w:rsidRPr="00000000">
        <w:rPr>
          <w:rtl w:val="0"/>
        </w:rPr>
      </w:r>
    </w:p>
    <w:sectPr>
      <w:headerReference r:id="rId7" w:type="default"/>
      <w:pgSz w:h="11900" w:w="16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Pr>
      <w:drawing>
        <wp:inline distB="0" distT="0" distL="0" distR="0">
          <wp:extent cx="817391" cy="578309"/>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7391" cy="5783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01C8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E0D32"/>
    <w:pPr>
      <w:tabs>
        <w:tab w:val="center" w:pos="4513"/>
        <w:tab w:val="right" w:pos="9026"/>
      </w:tabs>
    </w:pPr>
  </w:style>
  <w:style w:type="character" w:styleId="HeaderChar" w:customStyle="1">
    <w:name w:val="Header Char"/>
    <w:basedOn w:val="DefaultParagraphFont"/>
    <w:link w:val="Header"/>
    <w:uiPriority w:val="99"/>
    <w:rsid w:val="00FE0D32"/>
  </w:style>
  <w:style w:type="paragraph" w:styleId="Footer">
    <w:name w:val="footer"/>
    <w:basedOn w:val="Normal"/>
    <w:link w:val="FooterChar"/>
    <w:uiPriority w:val="99"/>
    <w:unhideWhenUsed w:val="1"/>
    <w:rsid w:val="00FE0D32"/>
    <w:pPr>
      <w:tabs>
        <w:tab w:val="center" w:pos="4513"/>
        <w:tab w:val="right" w:pos="9026"/>
      </w:tabs>
    </w:pPr>
  </w:style>
  <w:style w:type="character" w:styleId="FooterChar" w:customStyle="1">
    <w:name w:val="Footer Char"/>
    <w:basedOn w:val="DefaultParagraphFont"/>
    <w:link w:val="Footer"/>
    <w:uiPriority w:val="99"/>
    <w:rsid w:val="00FE0D32"/>
  </w:style>
  <w:style w:type="paragraph" w:styleId="ListParagraph">
    <w:name w:val="List Paragraph"/>
    <w:basedOn w:val="Normal"/>
    <w:uiPriority w:val="34"/>
    <w:qFormat w:val="1"/>
    <w:rsid w:val="00955E0E"/>
    <w:pPr>
      <w:ind w:left="720"/>
      <w:contextualSpacing w:val="1"/>
    </w:pPr>
  </w:style>
  <w:style w:type="paragraph" w:styleId="NormalWeb">
    <w:name w:val="Normal (Web)"/>
    <w:basedOn w:val="Normal"/>
    <w:uiPriority w:val="99"/>
    <w:semiHidden w:val="1"/>
    <w:unhideWhenUsed w:val="1"/>
    <w:rsid w:val="002D320E"/>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1fh+035sh7kVAG1p9pSu8mXfKA==">AMUW2mVDkcBzdk03//Yql9szt7UdKN2CPfV5zEVgqloI2vWnzrZU4+mQmekQuZHpc7bPWsvVcqva6tiKamN/xE4f26olkDZ0a5nxU8IzTKYNEIrvwM9cwkw=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2021-10-11T11:48:00Z</dcterms:created>
  <dc:creator>Josh O'Connor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Order">
    <vt:r8>780600.0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1024">
    <vt:lpwstr>18</vt:lpwstr>
  </property>
</Properties>
</file>